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1 - BASE DE PREPARAÇÃO DAS DEMONSTRAÇÕES E DAS PRÁTICAS CONTÁBEIS </w:t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As Demonstrações Contábeis (DCON) do Fundo do Desenvolvimento do Nordeste (FDNE) são elaboradas em consonância com os dispositivos da Lei nº 4.320/1964, do Decreto-Lei nº 200/1967, do Decreto nº 93872/1986, da Lei nº 10.180/2001 e da Lei Complementar nº 101/2000. Abrangem, também, as Normas Brasileiras de Contabilidade Aplicadas ao Setor Público (NBCASP) do Conselho Federal de </w:t>
      </w: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vertAlign w:val="baseline"/>
          <w:rtl w:val="0"/>
        </w:rPr>
        <w:t xml:space="preserve">ontabilidade (CFC), o Manual de Contabilidade Aplicada ao Setor Público (MCASP) e o Manual SIAFI. As DCON são elaboradas a partir das informações constantes no SIAFI. As estruturas e a composição das DCON estão de acordo com as bases propostas pelas práticas contábeis brasileiras (doravante modelo PCASP). Dessa forma as DCON são compostas por: I - Balanço Patrimonial (BP); II- Demonstrações das Variações Patrimoniais (DVP); III- Balanço Orçamentário (BO); IV- Balanço Financeiro (BF); V - Demonstrações dos Fluxos de Caixa (DFC).</w:t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2 - RESUMO DOS PRINCIPAIS CRITÉRIOS E POLÍTICAS CONTÁBEIS: 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2.1 - Moeda Funcional: A moeda funcional utilizada é o Real (R$). As DCON do FDNE não apresentam nenhum registro em moeda estrangeira.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2.2 - Imobilizado: O imobilizado é composto pelos bens móveis e imóveis. É reconhecido inicialmente com base no valor de aquisição, construção ou produção. Após o reconhecimento inicial, ficam sujeitos à depreciação, amortização ou exaustão (quando tiverem vida útil definida), bem como à redução ao valor recuperável e à reavaliação. Os gastos posteriores à aquisição, construção ou produção são incorporados ao valor do imobilizado desde que tais gastos aumentem a vida útil do bem e sejam capazes de gerar benefícios econômicos futuros. Se os gastos não gerarem tais benefícios, eles são reconhecidos diretamente como variações patrimoniais diminutivas (VPD) do período. O FDNE não possui Imóveis registrados.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2.3 - Intangível: Os direitos que tenham por objeto bens incorpóreos, destinados à manutenção da atividade pública ou exercidos com essa finalidade, são mensurados ou avaliados com base no valor de aquisição ou de produção, deduzido o saldo da respectiva conta de amortização acumulada e o montante acumulado de quaisquer perdas do valor que tenham sofrido ao longo de sua vida útil por redução ao valor recuperável (impairment).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2.4 - Passivo Circulante: As obrigações do FDNE são evidenciadas por valores conhecidos ou calculáveis, acrescidos, quando aplicável, dos correspondentes encargos das variações monetárias e cambiais ocorridas até a data da liquidação. O passivo circulante apresenta a seguinte divisão: </w:t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2.4.1 - Obrigações trabalhistas, previdenciárias e assistenciais; </w:t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2.4.2 - Fornecedores e Contas a Pagar; </w:t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2.4.3 - Obrigações Fiscais; e</w:t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2.4.4 - Demais obrigações. </w:t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2.5 - Investimentos: São compostos por (i) participações permanentes; (ii) propriedades para investimento; e (iii) demais investimentos. As participações permanentes representam os investimentos realizados em empresas, consórcios públicos e fundos realizados pelo FDNE. Quando há influência significativa, são mensurados e avaliados pelo método de custo, sendo reconhecidas as perdas prováveis apuradas em avaliações periódicas. As propriedades para investimento compreendem os bens imóveis mantidos com fins de renda e/ou ganho de capital, que não são usados nas operações e que não serão vendidos em curto prazo. As entidades que compõem a União têm utilizado dois critérios para mensuração e avaliação desses bens: (i) valor de custo; e (ii) custo depreciado. Obs: Não consta saldo em nenhuma conta de Investimento no órgão 74918-FDNE. </w: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2.6 - Resultado Patrimonial: A apuração do resultado patrimonial implica a confrontação das variações patrimoniais aumentativas (VPA) e das variações patrimoniais diminutivas (VPD). As VPA são reconhecidas quando for provável que benefícios econômicos fluirão para o FDNE e quando puderem ser mensuradas confiavelmente. Utilizando-se a lógica do regime de competência. A exceção se refere às receitas tributárias e às transferências recebidas, que seguem a </w:t>
      </w:r>
      <w:r w:rsidDel="00000000" w:rsidR="00000000" w:rsidRPr="00000000">
        <w:rPr>
          <w:rtl w:val="0"/>
        </w:rPr>
        <w:t xml:space="preserve">lógica</w:t>
      </w:r>
      <w:r w:rsidDel="00000000" w:rsidR="00000000" w:rsidRPr="00000000">
        <w:rPr>
          <w:vertAlign w:val="baseline"/>
          <w:rtl w:val="0"/>
        </w:rPr>
        <w:t xml:space="preserve"> do regime de caixa, que é permitido de acordo com o modelo PCASP. As VPD são reconhecidas quando for provável que </w:t>
      </w:r>
      <w:r w:rsidDel="00000000" w:rsidR="00000000" w:rsidRPr="00000000">
        <w:rPr>
          <w:rtl w:val="0"/>
        </w:rPr>
        <w:t xml:space="preserve">irão ocorrer</w:t>
      </w:r>
      <w:r w:rsidDel="00000000" w:rsidR="00000000" w:rsidRPr="00000000">
        <w:rPr>
          <w:vertAlign w:val="baseline"/>
          <w:rtl w:val="0"/>
        </w:rPr>
        <w:t xml:space="preserve"> decréscimos nos benefícios econômicos para o FDNE, implicando em saída de recursos ou em redução de ativos ou na assunção de passivos, seguindo a lógica do regime de competência. A exceção se refere às despesas oriundas da restituição de receitas tributárias e às transferências concedidas, que seguem a lógica do regime de caixa, que é permitido de acordo com o modelo PCASP. A apuração do resultado se dá pelo encerramento das contas de VPA e VPD, em contrapartida a uma conta de apuração. Após a apuração, o resultado é transferido para conta de Superávit/Déficit do Exercício. O detalhamento do confronto entre VPA e VPD é apresentado na Demonstração das Variações Patrimoniais. </w:t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2.7 - Resultado Orçamentário: O regime orçamentário da União segue o descrito no art. 35 da Lei nº 4.320/64. Desse modo, pertencem ao exercício financeiro 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vertAlign w:val="baseline"/>
          <w:rtl w:val="0"/>
        </w:rPr>
        <w:t xml:space="preserve">s receitas nele arrecadadas e as despesas nele legalmente empenhadas. O resultado orçamentário representa o confronto entre as receitas orçamentárias realizadas e as despesas orçamentárias empenhadas. O superávit/Déficit é representado diretamente no Balanço Orçamentário. 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2.9 - Resultado Financeiro: O resultado financeiro representa o confronto entre ingressos e dispêndios, orçamentários e extraorçamentários, que ocorreram durante o exercício e alteraram as disponibilidades da União. No Balanço Financeiro é possível identificar a apuração do resultado financeiro. Em função das particularidades da União, pela observância do princípio de caixa único, é possível, também, verificar o resultado financeiro na Demonstração dos Fluxos de Caixa. </w:t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NOTA EXPLICATIVA – BP – BALANÇO PATRIMONIAL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Ativo Circulante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Caixa e Equivalentes de Caixa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Os recursos em Caixa e Equivalentes de Caixa no Órgão 74918, </w:t>
      </w:r>
      <w:r w:rsidDel="00000000" w:rsidR="00000000" w:rsidRPr="00000000">
        <w:rPr>
          <w:rtl w:val="0"/>
        </w:rPr>
        <w:t xml:space="preserve">até quarto </w:t>
      </w:r>
      <w:r w:rsidDel="00000000" w:rsidR="00000000" w:rsidRPr="00000000">
        <w:rPr>
          <w:vertAlign w:val="baseline"/>
          <w:rtl w:val="0"/>
        </w:rPr>
        <w:t xml:space="preserve">trimestre de </w:t>
      </w:r>
      <w:r w:rsidDel="00000000" w:rsidR="00000000" w:rsidRPr="00000000">
        <w:rPr>
          <w:rtl w:val="0"/>
        </w:rPr>
        <w:t xml:space="preserve">2024</w:t>
      </w:r>
      <w:r w:rsidDel="00000000" w:rsidR="00000000" w:rsidRPr="00000000">
        <w:rPr>
          <w:vertAlign w:val="baseline"/>
          <w:rtl w:val="0"/>
        </w:rPr>
        <w:t xml:space="preserve">, são compostos por recursos aplicados na conta única (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1.1.1.1.1.02.06</w:t>
      </w:r>
      <w:r w:rsidDel="00000000" w:rsidR="00000000" w:rsidRPr="00000000">
        <w:rPr>
          <w:vertAlign w:val="baseline"/>
          <w:rtl w:val="0"/>
        </w:rPr>
        <w:t xml:space="preserve">) e referentes ao limite de sa</w:t>
      </w:r>
      <w:r w:rsidDel="00000000" w:rsidR="00000000" w:rsidRPr="00000000">
        <w:rPr>
          <w:rtl w:val="0"/>
        </w:rPr>
        <w:t xml:space="preserve">que (1.1.1.1.2.20.01 e 1.1.1.1.2.20.03)</w:t>
      </w:r>
      <w:r w:rsidDel="00000000" w:rsidR="00000000" w:rsidRPr="00000000">
        <w:rPr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A">
      <w:pPr>
        <w:rPr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211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Tabela 01 – Caixa e Equivalentes de Caixa – Composição</w:t>
      </w:r>
    </w:p>
    <w:p w:rsidR="00000000" w:rsidDel="00000000" w:rsidP="00000000" w:rsidRDefault="00000000" w:rsidRPr="00000000" w14:paraId="0000003C">
      <w:pPr>
        <w:ind w:left="7788" w:firstLine="707.9999999999995"/>
        <w:rPr>
          <w:vertAlign w:val="baseline"/>
        </w:rPr>
      </w:pPr>
      <w:r w:rsidDel="00000000" w:rsidR="00000000" w:rsidRPr="00000000">
        <w:rPr>
          <w:sz w:val="18"/>
          <w:szCs w:val="18"/>
          <w:vertAlign w:val="baseline"/>
          <w:rtl w:val="0"/>
        </w:rPr>
        <w:t xml:space="preserve">    R$ </w:t>
      </w:r>
      <w:r w:rsidDel="00000000" w:rsidR="00000000" w:rsidRPr="00000000">
        <w:rPr>
          <w:rtl w:val="0"/>
        </w:rPr>
      </w:r>
    </w:p>
    <w:tbl>
      <w:tblPr>
        <w:tblStyle w:val="Table1"/>
        <w:tblW w:w="9219.0" w:type="dxa"/>
        <w:jc w:val="left"/>
        <w:tblInd w:w="-108.0" w:type="dxa"/>
        <w:tblLayout w:type="fixed"/>
        <w:tblLook w:val="0000"/>
      </w:tblPr>
      <w:tblGrid>
        <w:gridCol w:w="4749"/>
        <w:gridCol w:w="1680"/>
        <w:gridCol w:w="1695"/>
        <w:gridCol w:w="1095"/>
        <w:tblGridChange w:id="0">
          <w:tblGrid>
            <w:gridCol w:w="4749"/>
            <w:gridCol w:w="1680"/>
            <w:gridCol w:w="1695"/>
            <w:gridCol w:w="109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3D">
            <w:pPr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3E">
            <w:pPr>
              <w:jc w:val="center"/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31/12/2023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3F">
            <w:pPr>
              <w:jc w:val="lef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         </w:t>
            </w: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1/12</w:t>
            </w: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40">
            <w:pPr>
              <w:jc w:val="left"/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    AH (%)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1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CTU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2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2.122.558.308,21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3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1.437.131.458,43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4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5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Limite de saque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6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  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7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628.034.392,62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8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           </w:t>
            </w:r>
          </w:p>
        </w:tc>
      </w:tr>
      <w:tr>
        <w:trPr>
          <w:cantSplit w:val="0"/>
          <w:trHeight w:val="6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9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A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B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C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4D">
            <w:pPr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4E">
            <w:pPr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2.122.558.308,21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4F">
            <w:pPr>
              <w:jc w:val="left"/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    2.065.165.851,05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- 2,70 %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Fonte: SIAFI </w:t>
      </w:r>
      <w:r w:rsidDel="00000000" w:rsidR="00000000" w:rsidRPr="00000000">
        <w:rPr>
          <w:sz w:val="16"/>
          <w:szCs w:val="16"/>
          <w:rtl w:val="0"/>
        </w:rPr>
        <w:t xml:space="preserve">2023 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e SIAFI </w:t>
      </w:r>
      <w:r w:rsidDel="00000000" w:rsidR="00000000" w:rsidRPr="00000000">
        <w:rPr>
          <w:sz w:val="16"/>
          <w:szCs w:val="16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Os montantes aplicados na </w:t>
      </w: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vertAlign w:val="baseline"/>
          <w:rtl w:val="0"/>
        </w:rPr>
        <w:t xml:space="preserve">onta </w:t>
      </w:r>
      <w:r w:rsidDel="00000000" w:rsidR="00000000" w:rsidRPr="00000000">
        <w:rPr>
          <w:rtl w:val="0"/>
        </w:rPr>
        <w:t xml:space="preserve">ú</w:t>
      </w:r>
      <w:r w:rsidDel="00000000" w:rsidR="00000000" w:rsidRPr="00000000">
        <w:rPr>
          <w:vertAlign w:val="baseline"/>
          <w:rtl w:val="0"/>
        </w:rPr>
        <w:t xml:space="preserve">nica são mensurados pelo valor original ou de custo e </w:t>
      </w:r>
      <w:r w:rsidDel="00000000" w:rsidR="00000000" w:rsidRPr="00000000">
        <w:rPr>
          <w:rtl w:val="0"/>
        </w:rPr>
        <w:t xml:space="preserve">atualizados</w:t>
      </w:r>
      <w:r w:rsidDel="00000000" w:rsidR="00000000" w:rsidRPr="00000000">
        <w:rPr>
          <w:vertAlign w:val="baseline"/>
          <w:rtl w:val="0"/>
        </w:rPr>
        <w:t xml:space="preserve"> periodicamente de acordo com os rendimentos. São acrescidos os valores referentes a reembolsos de operações </w:t>
      </w:r>
      <w:r w:rsidDel="00000000" w:rsidR="00000000" w:rsidRPr="00000000">
        <w:rPr>
          <w:rtl w:val="0"/>
        </w:rPr>
        <w:t xml:space="preserve">advindas</w:t>
      </w:r>
      <w:r w:rsidDel="00000000" w:rsidR="00000000" w:rsidRPr="00000000">
        <w:rPr>
          <w:vertAlign w:val="baseline"/>
          <w:rtl w:val="0"/>
        </w:rPr>
        <w:t xml:space="preserve"> dos financiamentos concedidos aos projetos realizados e dos rendimentos de aplicações financeiras. Quando a desembolso, de liberações para projetos, por exemplo, o saldo aplicado é resgatado e transferido para o Banco Operador definido. </w:t>
      </w:r>
    </w:p>
    <w:p w:rsidR="00000000" w:rsidDel="00000000" w:rsidP="00000000" w:rsidRDefault="00000000" w:rsidRPr="00000000" w14:paraId="0000005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BP – Empréstimos e financiamentos concedidos (curto prazo)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Os recebíveis no Curto Prazo (CP) na UG 533009 são oriundos das </w:t>
      </w:r>
      <w:r w:rsidDel="00000000" w:rsidR="00000000" w:rsidRPr="00000000">
        <w:rPr>
          <w:rtl w:val="0"/>
        </w:rPr>
        <w:t xml:space="preserve">previsões de desembolsos</w:t>
      </w:r>
      <w:r w:rsidDel="00000000" w:rsidR="00000000" w:rsidRPr="00000000">
        <w:rPr>
          <w:vertAlign w:val="baseline"/>
          <w:rtl w:val="0"/>
        </w:rPr>
        <w:t xml:space="preserve"> financeiros das empresas aos agentes operadores no prazo de até 12 meses. Os valores são mensurados pelo valor original ou de custo e, em geral, são atualizados/alterados por juros e encargos, de acordo com os relatórios enviados pelos bancos, Transferência do Longo Prazo (LP) para o CP e Reembolso de Recursos derivados projetos.</w:t>
      </w:r>
    </w:p>
    <w:p w:rsidR="00000000" w:rsidDel="00000000" w:rsidP="00000000" w:rsidRDefault="00000000" w:rsidRPr="00000000" w14:paraId="00000058">
      <w:pPr>
        <w:ind w:firstLine="709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Os reembolsos são registrados, e consequentemente baixados do ativo, a partir do momento que os bancos repassam os recursos para a UG do FDNE. A conta utilizada para registrar o saldo é a 1.1.2.4.1.02.01 – Financiamentos Concedidos a Receber - Exceto FAT.</w:t>
      </w:r>
    </w:p>
    <w:p w:rsidR="00000000" w:rsidDel="00000000" w:rsidP="00000000" w:rsidRDefault="00000000" w:rsidRPr="00000000" w14:paraId="0000005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 CP há </w:t>
      </w:r>
      <w:r w:rsidDel="00000000" w:rsidR="00000000" w:rsidRPr="00000000">
        <w:rPr>
          <w:rtl w:val="0"/>
        </w:rPr>
        <w:t xml:space="preserve">três</w:t>
      </w:r>
      <w:r w:rsidDel="00000000" w:rsidR="00000000" w:rsidRPr="00000000">
        <w:rPr>
          <w:vertAlign w:val="baseline"/>
          <w:rtl w:val="0"/>
        </w:rPr>
        <w:t xml:space="preserve"> agentes com saldo na conta mencionada: Banco do Brasil S.A (BB), Banco do Nordeste S.A (BNB) e Caixa Econômica Federal, conforme abaixo.</w:t>
      </w:r>
    </w:p>
    <w:p w:rsidR="00000000" w:rsidDel="00000000" w:rsidP="00000000" w:rsidRDefault="00000000" w:rsidRPr="00000000" w14:paraId="0000005C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211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Tabela 02 – Empréstimos Concedidos a receber – Composição</w:t>
      </w:r>
    </w:p>
    <w:p w:rsidR="00000000" w:rsidDel="00000000" w:rsidP="00000000" w:rsidRDefault="00000000" w:rsidRPr="00000000" w14:paraId="0000005F">
      <w:pPr>
        <w:ind w:left="8496" w:firstLine="0"/>
        <w:rPr>
          <w:vertAlign w:val="baseline"/>
        </w:rPr>
      </w:pPr>
      <w:r w:rsidDel="00000000" w:rsidR="00000000" w:rsidRPr="00000000">
        <w:rPr>
          <w:sz w:val="18"/>
          <w:szCs w:val="18"/>
          <w:vertAlign w:val="baseline"/>
          <w:rtl w:val="0"/>
        </w:rPr>
        <w:t xml:space="preserve">    R$ </w:t>
      </w:r>
      <w:r w:rsidDel="00000000" w:rsidR="00000000" w:rsidRPr="00000000">
        <w:rPr>
          <w:rtl w:val="0"/>
        </w:rPr>
      </w:r>
    </w:p>
    <w:tbl>
      <w:tblPr>
        <w:tblStyle w:val="Table2"/>
        <w:tblW w:w="9300.0" w:type="dxa"/>
        <w:jc w:val="left"/>
        <w:tblInd w:w="-108.0" w:type="dxa"/>
        <w:tblLayout w:type="fixed"/>
        <w:tblLook w:val="0000"/>
      </w:tblPr>
      <w:tblGrid>
        <w:gridCol w:w="4665"/>
        <w:gridCol w:w="1950"/>
        <w:gridCol w:w="1560"/>
        <w:gridCol w:w="1125"/>
        <w:tblGridChange w:id="0">
          <w:tblGrid>
            <w:gridCol w:w="4665"/>
            <w:gridCol w:w="1950"/>
            <w:gridCol w:w="1560"/>
            <w:gridCol w:w="1125"/>
          </w:tblGrid>
        </w:tblGridChange>
      </w:tblGrid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60">
            <w:pPr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61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12/2023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62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12/</w:t>
            </w: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63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AH (%)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4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Banco do Brasil S.A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5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12.342.263,91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6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53.757.276,37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7">
            <w:pPr>
              <w:jc w:val="lef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Banco do Nordeste S.A</w:t>
            </w:r>
          </w:p>
          <w:p w:rsidR="00000000" w:rsidDel="00000000" w:rsidP="00000000" w:rsidRDefault="00000000" w:rsidRPr="00000000" w14:paraId="0000006A">
            <w:pPr>
              <w:tabs>
                <w:tab w:val="left" w:leader="none" w:pos="1188"/>
              </w:tabs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tabs>
                <w:tab w:val="left" w:leader="none" w:pos="1188"/>
              </w:tabs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Caixa Econômica Federal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tabs>
                <w:tab w:val="left" w:leader="none" w:pos="1188"/>
              </w:tabs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D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216.507.114,10                    </w:t>
            </w:r>
          </w:p>
          <w:p w:rsidR="00000000" w:rsidDel="00000000" w:rsidP="00000000" w:rsidRDefault="00000000" w:rsidRPr="00000000" w14:paraId="0000006F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</w:t>
            </w:r>
          </w:p>
          <w:p w:rsidR="00000000" w:rsidDel="00000000" w:rsidP="00000000" w:rsidRDefault="00000000" w:rsidRPr="00000000" w14:paraId="00000070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  13.167.577,03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1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249.801.279,31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74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732.377,47</w:t>
            </w: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5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76">
            <w:pPr>
              <w:jc w:val="center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7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8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9">
            <w:pPr>
              <w:jc w:val="lef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A">
            <w:pPr>
              <w:jc w:val="lef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7B">
            <w:pPr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7C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             242.016.955,04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7D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    304.290.933,15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7E">
            <w:pPr>
              <w:jc w:val="right"/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25,73 %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Fonte: SIAFI </w:t>
      </w:r>
      <w:r w:rsidDel="00000000" w:rsidR="00000000" w:rsidRPr="00000000">
        <w:rPr>
          <w:sz w:val="16"/>
          <w:szCs w:val="16"/>
          <w:rtl w:val="0"/>
        </w:rPr>
        <w:t xml:space="preserve">2023 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e </w:t>
      </w:r>
      <w:r w:rsidDel="00000000" w:rsidR="00000000" w:rsidRPr="00000000">
        <w:rPr>
          <w:sz w:val="16"/>
          <w:szCs w:val="16"/>
          <w:rtl w:val="0"/>
        </w:rPr>
        <w:t xml:space="preserve">2024</w:t>
      </w:r>
      <w:r w:rsidDel="00000000" w:rsidR="00000000" w:rsidRPr="00000000">
        <w:rPr>
          <w:sz w:val="16"/>
          <w:szCs w:val="16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Ativo Não Circulante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BP – Empréstimos e financiamentos concedidos (longo prazo)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Os recebíveis no Longo Prazo (LP) na UG 533009 são oriundos das previsões de desembolsos financeiros das empresas aos agentes operadores no prazo após 12 meses. </w:t>
      </w:r>
    </w:p>
    <w:p w:rsidR="00000000" w:rsidDel="00000000" w:rsidP="00000000" w:rsidRDefault="00000000" w:rsidRPr="00000000" w14:paraId="0000008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Os valores são mensurados pelo valor original ou de custo e, em geral, são atualizados/alterados por juros e encargos, de acordo com os relatórios enviados pelos bancos, Transferência para o Curto Prazo (CP) e Liberação de Recursos aos agentes operadores dos projetos contratados. No momento do desembolso é realizada do ativo a baixa de 2%, </w:t>
      </w:r>
      <w:r w:rsidDel="00000000" w:rsidR="00000000" w:rsidRPr="00000000">
        <w:rPr>
          <w:rtl w:val="0"/>
        </w:rPr>
        <w:t xml:space="preserve">relativa à remuneração</w:t>
      </w:r>
      <w:r w:rsidDel="00000000" w:rsidR="00000000" w:rsidRPr="00000000">
        <w:rPr>
          <w:vertAlign w:val="baseline"/>
          <w:rtl w:val="0"/>
        </w:rPr>
        <w:t xml:space="preserve"> legal da SUDENE, como gestora do FDNE. A conta utilizada para registrar o saldo é a 1.2.1.1.1.03.08 – Financiamentos Concedidos a Receber - Exceto FAT.</w:t>
      </w:r>
    </w:p>
    <w:p w:rsidR="00000000" w:rsidDel="00000000" w:rsidP="00000000" w:rsidRDefault="00000000" w:rsidRPr="00000000" w14:paraId="0000008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 LP há </w:t>
      </w:r>
      <w:r w:rsidDel="00000000" w:rsidR="00000000" w:rsidRPr="00000000">
        <w:rPr>
          <w:rtl w:val="0"/>
        </w:rPr>
        <w:t xml:space="preserve">4 </w:t>
      </w:r>
      <w:r w:rsidDel="00000000" w:rsidR="00000000" w:rsidRPr="00000000">
        <w:rPr>
          <w:vertAlign w:val="baseline"/>
          <w:rtl w:val="0"/>
        </w:rPr>
        <w:t xml:space="preserve">agentes com saldo na conta mencionada: Banco do Brasil S/A (BB), Caixa Econômica Federal e Banco do Nordeste S/A (BNB) e o Banco de Desenvolvimento de Minas Gerai</w:t>
      </w:r>
      <w:r w:rsidDel="00000000" w:rsidR="00000000" w:rsidRPr="00000000">
        <w:rPr>
          <w:rtl w:val="0"/>
        </w:rPr>
        <w:t xml:space="preserve">s S.A</w:t>
      </w:r>
      <w:r w:rsidDel="00000000" w:rsidR="00000000" w:rsidRPr="00000000">
        <w:rPr>
          <w:vertAlign w:val="baseline"/>
          <w:rtl w:val="0"/>
        </w:rPr>
        <w:t xml:space="preserve">, conforme abaixo.</w:t>
      </w:r>
    </w:p>
    <w:p w:rsidR="00000000" w:rsidDel="00000000" w:rsidP="00000000" w:rsidRDefault="00000000" w:rsidRPr="00000000" w14:paraId="0000008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b w:val="1"/>
          <w:vertAlign w:val="baseline"/>
          <w:rtl w:val="0"/>
        </w:rPr>
        <w:t xml:space="preserve">Participações Permanentes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hd w:fill="ffffff" w:val="clear"/>
        <w:ind w:left="0" w:firstLine="0"/>
        <w:rPr/>
      </w:pPr>
      <w:r w:rsidDel="00000000" w:rsidR="00000000" w:rsidRPr="00000000">
        <w:rPr>
          <w:b w:val="1"/>
          <w:rtl w:val="0"/>
        </w:rPr>
        <w:t xml:space="preserve">Tabela 03 – Investimentos – Composição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hd w:fill="ffffff" w:val="clear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180" w:bottomFromText="180" w:vertAnchor="text" w:horzAnchor="text" w:tblpX="37.000000000000455" w:tblpY="0"/>
        <w:tblW w:w="90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80"/>
        <w:gridCol w:w="4035"/>
        <w:gridCol w:w="1935"/>
        <w:gridCol w:w="825"/>
        <w:tblGridChange w:id="0">
          <w:tblGrid>
            <w:gridCol w:w="2280"/>
            <w:gridCol w:w="4035"/>
            <w:gridCol w:w="1935"/>
            <w:gridCol w:w="825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R$</w:t>
            </w:r>
          </w:p>
        </w:tc>
      </w:tr>
      <w:tr>
        <w:trPr>
          <w:cantSplit w:val="0"/>
          <w:tblHeader w:val="1"/>
        </w:trPr>
        <w:tc>
          <w:tcPr>
            <w:tcBorders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94">
            <w:pPr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95">
            <w:pPr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31/12/2023</w:t>
            </w:r>
          </w:p>
        </w:tc>
        <w:tc>
          <w:tcPr>
            <w:tcBorders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96">
            <w:pPr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31/12/2024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97">
            <w:pPr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AH (%)</w:t>
            </w:r>
          </w:p>
        </w:tc>
      </w:tr>
      <w:tr>
        <w:trPr>
          <w:cantSplit w:val="0"/>
          <w:trHeight w:val="495" w:hRule="atLeast"/>
          <w:tblHeader w:val="1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Banco do Brasil S.A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9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4.292.118.700,18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5.149.538.514,64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Caixa Econômica Federal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D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405.704.160,13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383.434.626,45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Banco do Nordeste S.A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6.862.788.711,52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2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7.530.549.406,27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BDMG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5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96.318.709,12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6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102.792.478,40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1"/>
        </w:trPr>
        <w:tc>
          <w:tcPr>
            <w:tcBorders>
              <w:left w:color="000000" w:space="0" w:sz="0" w:val="nil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A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A9">
            <w:pPr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11.656.930.280,95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AA">
            <w:pPr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13.166.315.025,76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c0c0c0" w:val="clear"/>
          </w:tcPr>
          <w:p w:rsidR="00000000" w:rsidDel="00000000" w:rsidP="00000000" w:rsidRDefault="00000000" w:rsidRPr="00000000" w14:paraId="000000AB">
            <w:pPr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12,95 %</w:t>
            </w:r>
          </w:p>
        </w:tc>
      </w:tr>
      <w:tr>
        <w:trPr>
          <w:cantSplit w:val="0"/>
          <w:trHeight w:val="424.98046875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Fonte: SIAFI 2023 e 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b w:val="1"/>
          <w:rtl w:val="0"/>
        </w:rPr>
        <w:t xml:space="preserve">Passivo Circulante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b w:val="1"/>
          <w:rtl w:val="0"/>
        </w:rPr>
        <w:t xml:space="preserve">Empréstimos e financiamentos a liberar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Em 31/12/2024, a FDNE apresentou saldo de financiamentos a liberar no curto prazo registrado na 2.1.8.9.1.30.00 – Empréstimos e Financiamentos a Liberar de R$ 681.432.110,11, com aumento em relação a 2023. É o saldo mais representativo do passivo circulante ao final do exercício.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b w:val="1"/>
          <w:rtl w:val="0"/>
        </w:rPr>
        <w:t xml:space="preserve">Tabela 04 – Empréstimos e financiamentos a liberar – Composição.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ind w:left="0" w:firstLine="0"/>
        <w:rPr/>
      </w:pPr>
      <w:r w:rsidDel="00000000" w:rsidR="00000000" w:rsidRPr="00000000">
        <w:rPr>
          <w:sz w:val="16"/>
          <w:szCs w:val="16"/>
          <w:rtl w:val="0"/>
        </w:rPr>
        <w:t xml:space="preserve">                                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  <w:t xml:space="preserve">R$ </w:t>
      </w:r>
    </w:p>
    <w:tbl>
      <w:tblPr>
        <w:tblStyle w:val="Table4"/>
        <w:tblW w:w="8059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64"/>
        <w:gridCol w:w="2055"/>
        <w:gridCol w:w="2040"/>
        <w:tblGridChange w:id="0">
          <w:tblGrid>
            <w:gridCol w:w="3964"/>
            <w:gridCol w:w="2055"/>
            <w:gridCol w:w="2040"/>
          </w:tblGrid>
        </w:tblGridChange>
      </w:tblGrid>
      <w:tr>
        <w:trPr>
          <w:cantSplit w:val="0"/>
          <w:trHeight w:val="183.984375" w:hRule="atLeast"/>
          <w:tblHeader w:val="0"/>
        </w:trPr>
        <w:tc>
          <w:tcPr>
            <w:tcBorders>
              <w:bottom w:color="000000" w:space="0" w:sz="4" w:val="single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0B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0B9">
            <w:pPr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31/12/2023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0BA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31/12/2024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.984375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B">
            <w:pPr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Empréstimos e Financiamentos a Liberar 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0BC">
            <w:pPr>
              <w:jc w:val="left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                 21.947.807,75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0BD">
            <w:pPr>
              <w:jc w:val="center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                681.432.110,11</w:t>
            </w:r>
          </w:p>
        </w:tc>
      </w:tr>
      <w:tr>
        <w:trPr>
          <w:cantSplit w:val="0"/>
          <w:trHeight w:val="183.984375" w:hRule="atLeast"/>
          <w:tblHeader w:val="0"/>
        </w:trPr>
        <w:tc>
          <w:tcPr>
            <w:tcBorders>
              <w:bottom w:color="000000" w:space="0" w:sz="4" w:val="single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0BE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0BF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21.947.807,75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0C0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681.432.110,11</w:t>
            </w:r>
          </w:p>
        </w:tc>
      </w:tr>
    </w:tbl>
    <w:p w:rsidR="00000000" w:rsidDel="00000000" w:rsidP="00000000" w:rsidRDefault="00000000" w:rsidRPr="00000000" w14:paraId="000000C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Fonte: SIAFI 2023 e 2024</w:t>
      </w:r>
    </w:p>
    <w:p w:rsidR="00000000" w:rsidDel="00000000" w:rsidP="00000000" w:rsidRDefault="00000000" w:rsidRPr="00000000" w14:paraId="000000C2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Patrimônio Líquido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 Patrimônio Líquido é</w:t>
      </w:r>
      <w:r w:rsidDel="00000000" w:rsidR="00000000" w:rsidRPr="00000000">
        <w:rPr>
          <w:rtl w:val="0"/>
        </w:rPr>
        <w:t xml:space="preserve">, neste exercício, foi composto pelo superávit de exercícios anteriores e pelo resultado das </w:t>
      </w:r>
      <w:r w:rsidDel="00000000" w:rsidR="00000000" w:rsidRPr="00000000">
        <w:rPr>
          <w:vertAlign w:val="baseline"/>
          <w:rtl w:val="0"/>
        </w:rPr>
        <w:t xml:space="preserve">Variações Patrimoniais Aumentativas (VPA) e Variações Patrimoniais Diminutivas (VPD) derivadas das operações do FDNE e por Ajustes de Exercícios Anteriores realizados no exercício.</w:t>
      </w:r>
    </w:p>
    <w:p w:rsidR="00000000" w:rsidDel="00000000" w:rsidP="00000000" w:rsidRDefault="00000000" w:rsidRPr="00000000" w14:paraId="000000C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vertAlign w:val="baseline"/>
          <w:rtl w:val="0"/>
        </w:rPr>
        <w:t xml:space="preserve">O Patrimônio Líquido é composto, portanto, por: Superávits ou Déficits (2.3.7.1.1.02.01)</w:t>
      </w:r>
      <w:r w:rsidDel="00000000" w:rsidR="00000000" w:rsidRPr="00000000">
        <w:rPr>
          <w:rtl w:val="0"/>
        </w:rPr>
        <w:t xml:space="preserve"> relacionados a exercícios anteriores.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Tabela 0</w:t>
      </w:r>
      <w:r w:rsidDel="00000000" w:rsidR="00000000" w:rsidRPr="00000000">
        <w:rPr>
          <w:b w:val="1"/>
          <w:rtl w:val="0"/>
        </w:rPr>
        <w:t xml:space="preserve">5</w:t>
      </w:r>
      <w:r w:rsidDel="00000000" w:rsidR="00000000" w:rsidRPr="00000000">
        <w:rPr>
          <w:b w:val="1"/>
          <w:vertAlign w:val="baseline"/>
          <w:rtl w:val="0"/>
        </w:rPr>
        <w:t xml:space="preserve"> – Patrimônio Líquido – Composição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ind w:left="7788" w:firstLine="707.9999999999995"/>
        <w:rPr>
          <w:vertAlign w:val="baseline"/>
        </w:rPr>
      </w:pPr>
      <w:r w:rsidDel="00000000" w:rsidR="00000000" w:rsidRPr="00000000">
        <w:rPr>
          <w:sz w:val="18"/>
          <w:szCs w:val="18"/>
          <w:vertAlign w:val="baseline"/>
          <w:rtl w:val="0"/>
        </w:rPr>
        <w:t xml:space="preserve">   R$ </w:t>
      </w:r>
      <w:r w:rsidDel="00000000" w:rsidR="00000000" w:rsidRPr="00000000">
        <w:rPr>
          <w:rtl w:val="0"/>
        </w:rPr>
      </w:r>
    </w:p>
    <w:tbl>
      <w:tblPr>
        <w:tblStyle w:val="Table5"/>
        <w:tblW w:w="9225.0" w:type="dxa"/>
        <w:jc w:val="left"/>
        <w:tblInd w:w="-108.0" w:type="dxa"/>
        <w:tblLayout w:type="fixed"/>
        <w:tblLook w:val="0000"/>
      </w:tblPr>
      <w:tblGrid>
        <w:gridCol w:w="4635"/>
        <w:gridCol w:w="1815"/>
        <w:gridCol w:w="1740"/>
        <w:gridCol w:w="1035"/>
        <w:tblGridChange w:id="0">
          <w:tblGrid>
            <w:gridCol w:w="4635"/>
            <w:gridCol w:w="1815"/>
            <w:gridCol w:w="1740"/>
            <w:gridCol w:w="103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D2">
            <w:pPr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D3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31</w:t>
            </w: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D4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   3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D5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AH (%)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6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                     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7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8">
            <w:pPr>
              <w:jc w:val="lef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9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Resultado do exercício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B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976.860.889,55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C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845.380.887,15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D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E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Superávits ou Déficits Exercícios Anteriores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F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13.026.250.087,75</w:t>
            </w:r>
          </w:p>
          <w:p w:rsidR="00000000" w:rsidDel="00000000" w:rsidP="00000000" w:rsidRDefault="00000000" w:rsidRPr="00000000" w14:paraId="000000E0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E1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14.003.110.977,30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E2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E3">
            <w:pPr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E4">
            <w:pPr>
              <w:jc w:val="right"/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14.003.110.977,30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E5">
            <w:pPr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14.848.491.864,45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0E6">
            <w:pPr>
              <w:jc w:val="right"/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6,04 %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7">
      <w:pPr>
        <w:rPr>
          <w:sz w:val="24"/>
          <w:szCs w:val="24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Fonte: SIAFI </w:t>
      </w:r>
      <w:r w:rsidDel="00000000" w:rsidR="00000000" w:rsidRPr="00000000">
        <w:rPr>
          <w:sz w:val="16"/>
          <w:szCs w:val="16"/>
          <w:rtl w:val="0"/>
        </w:rPr>
        <w:t xml:space="preserve">2023 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e </w:t>
      </w:r>
      <w:r w:rsidDel="00000000" w:rsidR="00000000" w:rsidRPr="00000000">
        <w:rPr>
          <w:sz w:val="16"/>
          <w:szCs w:val="16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b w:val="0"/>
          <w:highlight w:val="white"/>
          <w:u w:val="single"/>
          <w:vertAlign w:val="baseline"/>
        </w:rPr>
      </w:pPr>
      <w:r w:rsidDel="00000000" w:rsidR="00000000" w:rsidRPr="00000000">
        <w:rPr>
          <w:b w:val="1"/>
          <w:highlight w:val="white"/>
          <w:u w:val="single"/>
          <w:vertAlign w:val="baseline"/>
          <w:rtl w:val="0"/>
        </w:rPr>
        <w:t xml:space="preserve">NOTA EXPLICATIVA – DVP – DEMONSTRAÇÃO DAS VARIAÇÕES PATRIMONIAIS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Demonstração das Variações Patrimoniais evidenciará as alterações verificadas no patrimônio, resultantes ou independentes da execução orçamentária, e indicará o resultado patrimonial do exercício.</w:t>
      </w:r>
    </w:p>
    <w:p w:rsidR="00000000" w:rsidDel="00000000" w:rsidP="00000000" w:rsidRDefault="00000000" w:rsidRPr="00000000" w14:paraId="0000011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VPA (Variações Patrimoniais Aumentativas)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VPA - Variações Patrimoniais Aumentativas Financeiras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Correspondem </w:t>
      </w:r>
      <w:r w:rsidDel="00000000" w:rsidR="00000000" w:rsidRPr="00000000">
        <w:rPr>
          <w:rtl w:val="0"/>
        </w:rPr>
        <w:t xml:space="preserve">à</w:t>
      </w:r>
      <w:r w:rsidDel="00000000" w:rsidR="00000000" w:rsidRPr="00000000">
        <w:rPr>
          <w:vertAlign w:val="baseline"/>
          <w:rtl w:val="0"/>
        </w:rPr>
        <w:t xml:space="preserve">s receitas próprias oriundas das remunerações das aplicações financeiras da </w:t>
      </w: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vertAlign w:val="baseline"/>
          <w:rtl w:val="0"/>
        </w:rPr>
        <w:t xml:space="preserve">onta única (CTU)</w:t>
      </w:r>
      <w:r w:rsidDel="00000000" w:rsidR="00000000" w:rsidRPr="00000000">
        <w:rPr>
          <w:rtl w:val="0"/>
        </w:rPr>
        <w:t xml:space="preserve"> e</w:t>
      </w:r>
      <w:r w:rsidDel="00000000" w:rsidR="00000000" w:rsidRPr="00000000">
        <w:rPr>
          <w:vertAlign w:val="baseline"/>
          <w:rtl w:val="0"/>
        </w:rPr>
        <w:t xml:space="preserve"> juros e encargos do</w:t>
      </w:r>
      <w:r w:rsidDel="00000000" w:rsidR="00000000" w:rsidRPr="00000000">
        <w:rPr>
          <w:rtl w:val="0"/>
        </w:rPr>
        <w:t xml:space="preserve">s financiamentos </w:t>
      </w:r>
      <w:r w:rsidDel="00000000" w:rsidR="00000000" w:rsidRPr="00000000">
        <w:rPr>
          <w:vertAlign w:val="baseline"/>
          <w:rtl w:val="0"/>
        </w:rPr>
        <w:t xml:space="preserve">concedidos nos </w:t>
      </w:r>
      <w:r w:rsidDel="00000000" w:rsidR="00000000" w:rsidRPr="00000000">
        <w:rPr>
          <w:rtl w:val="0"/>
        </w:rPr>
        <w:t xml:space="preserve">montantes</w:t>
      </w:r>
      <w:r w:rsidDel="00000000" w:rsidR="00000000" w:rsidRPr="00000000">
        <w:rPr>
          <w:vertAlign w:val="baseline"/>
          <w:rtl w:val="0"/>
        </w:rPr>
        <w:t xml:space="preserve"> de R$ </w:t>
      </w:r>
      <w:r w:rsidDel="00000000" w:rsidR="00000000" w:rsidRPr="00000000">
        <w:rPr>
          <w:rtl w:val="0"/>
        </w:rPr>
        <w:t xml:space="preserve">196.920.970,28 e R$ 340.319.188,58, </w:t>
      </w:r>
      <w:r w:rsidDel="00000000" w:rsidR="00000000" w:rsidRPr="00000000">
        <w:rPr>
          <w:vertAlign w:val="baseline"/>
          <w:rtl w:val="0"/>
        </w:rPr>
        <w:t xml:space="preserve">respectivamente.</w:t>
      </w:r>
    </w:p>
    <w:p w:rsidR="00000000" w:rsidDel="00000000" w:rsidP="00000000" w:rsidRDefault="00000000" w:rsidRPr="00000000" w14:paraId="0000011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VPA - Transferências e Delegações Recebidas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vertAlign w:val="baseline"/>
          <w:rtl w:val="0"/>
        </w:rPr>
        <w:t xml:space="preserve">Receitas provenientes d</w:t>
      </w: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vertAlign w:val="baseline"/>
          <w:rtl w:val="0"/>
        </w:rPr>
        <w:t xml:space="preserve"> transferências </w:t>
      </w:r>
      <w:r w:rsidDel="00000000" w:rsidR="00000000" w:rsidRPr="00000000">
        <w:rPr>
          <w:rtl w:val="0"/>
        </w:rPr>
        <w:t xml:space="preserve">intragovernamentais</w:t>
      </w:r>
      <w:r w:rsidDel="00000000" w:rsidR="00000000" w:rsidRPr="00000000">
        <w:rPr>
          <w:vertAlign w:val="baseline"/>
          <w:rtl w:val="0"/>
        </w:rPr>
        <w:t xml:space="preserve"> de recursos à UG do FDNE no valor de </w:t>
      </w:r>
      <w:r w:rsidDel="00000000" w:rsidR="00000000" w:rsidRPr="00000000">
        <w:rPr>
          <w:rtl w:val="0"/>
        </w:rPr>
        <w:t xml:space="preserve"> R$ 820.753.234,28, notadamente para liberação de projetos de financiamentos..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rtl w:val="0"/>
        </w:rPr>
        <w:t xml:space="preserve">V</w:t>
      </w:r>
      <w:r w:rsidDel="00000000" w:rsidR="00000000" w:rsidRPr="00000000">
        <w:rPr>
          <w:b w:val="1"/>
          <w:u w:val="single"/>
          <w:vertAlign w:val="baseline"/>
          <w:rtl w:val="0"/>
        </w:rPr>
        <w:t xml:space="preserve">PD (Variações Patrimoniais Diminutivas)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VPD - Transferências e Delegações Concedidas</w:t>
      </w:r>
    </w:p>
    <w:p w:rsidR="00000000" w:rsidDel="00000000" w:rsidP="00000000" w:rsidRDefault="00000000" w:rsidRPr="00000000" w14:paraId="000001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As </w:t>
      </w:r>
      <w:r w:rsidDel="00000000" w:rsidR="00000000" w:rsidRPr="00000000">
        <w:rPr>
          <w:rtl w:val="0"/>
        </w:rPr>
        <w:t xml:space="preserve">Transferências e Delegações 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trimestre totalizaram </w:t>
      </w:r>
      <w:r w:rsidDel="00000000" w:rsidR="00000000" w:rsidRPr="00000000">
        <w:rPr>
          <w:rtl w:val="0"/>
        </w:rPr>
        <w:t xml:space="preserve">R$ 483.975.181,19 correspondente às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ransferências Intragovernamentais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1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VPD- Desvalorização e Perdas de Ativos e Incorporação de Passivos</w:t>
      </w:r>
    </w:p>
    <w:p w:rsidR="00000000" w:rsidDel="00000000" w:rsidP="00000000" w:rsidRDefault="00000000" w:rsidRPr="00000000" w14:paraId="000001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Houve desincorporação de ativos no ano no montante de R$ 26.396.204,07, notadamente relacionados ao reconhecimento dos 2% legais de despesas para Sudene, gerados a partir da liberação para projetos.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rtl w:val="0"/>
        </w:rPr>
        <w:t xml:space="preserve">R</w:t>
      </w:r>
      <w:r w:rsidDel="00000000" w:rsidR="00000000" w:rsidRPr="00000000">
        <w:rPr>
          <w:b w:val="1"/>
          <w:u w:val="single"/>
          <w:vertAlign w:val="baseline"/>
          <w:rtl w:val="0"/>
        </w:rPr>
        <w:t xml:space="preserve">esultado Patrimonial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>
          <w:vertAlign w:val="baseline"/>
        </w:rPr>
      </w:pPr>
      <w:r w:rsidDel="00000000" w:rsidR="00000000" w:rsidRPr="00000000">
        <w:rPr>
          <w:rtl w:val="0"/>
        </w:rPr>
        <w:t xml:space="preserve">O resultado</w:t>
      </w:r>
      <w:r w:rsidDel="00000000" w:rsidR="00000000" w:rsidRPr="00000000">
        <w:rPr>
          <w:vertAlign w:val="baseline"/>
          <w:rtl w:val="0"/>
        </w:rPr>
        <w:t xml:space="preserve"> superavitário </w:t>
      </w:r>
      <w:r w:rsidDel="00000000" w:rsidR="00000000" w:rsidRPr="00000000">
        <w:rPr>
          <w:rtl w:val="0"/>
        </w:rPr>
        <w:t xml:space="preserve">até o trimestre </w:t>
      </w:r>
      <w:r w:rsidDel="00000000" w:rsidR="00000000" w:rsidRPr="00000000">
        <w:rPr>
          <w:vertAlign w:val="baseline"/>
          <w:rtl w:val="0"/>
        </w:rPr>
        <w:t xml:space="preserve">de </w:t>
      </w:r>
      <w:r w:rsidDel="00000000" w:rsidR="00000000" w:rsidRPr="00000000">
        <w:rPr>
          <w:rtl w:val="0"/>
        </w:rPr>
        <w:t xml:space="preserve">2024 foi </w:t>
      </w:r>
      <w:r w:rsidDel="00000000" w:rsidR="00000000" w:rsidRPr="00000000">
        <w:rPr>
          <w:vertAlign w:val="baseline"/>
          <w:rtl w:val="0"/>
        </w:rPr>
        <w:t xml:space="preserve">de R</w:t>
      </w:r>
      <w:r w:rsidDel="00000000" w:rsidR="00000000" w:rsidRPr="00000000">
        <w:rPr>
          <w:rtl w:val="0"/>
        </w:rPr>
        <w:t xml:space="preserve">$ 845.380.887,15.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NOTA EXPLICATIVA – BO – BALANÇO ORÇAMENTÁRIO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 Balanço Orçamentário evidencia as receitas e as despesas orçamentárias, confrontando a dotação inicial, atualizada e as suas alterações com a execução, e por outro lado, também as receitas (ingressos orçamentários estimados) previstas e a sua arrecadação, onde o confronto entre a execução da despesa e a realização da receita demonstra o resultado orçamentário. Também demonstra em seus anexos a execução dos Restos a Pagar.</w:t>
      </w:r>
    </w:p>
    <w:p w:rsidR="00000000" w:rsidDel="00000000" w:rsidP="00000000" w:rsidRDefault="00000000" w:rsidRPr="00000000" w14:paraId="0000014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Tabela 06 – Previsão </w:t>
      </w:r>
      <w:r w:rsidDel="00000000" w:rsidR="00000000" w:rsidRPr="00000000">
        <w:rPr>
          <w:b w:val="1"/>
          <w:rtl w:val="0"/>
        </w:rPr>
        <w:t xml:space="preserve">e Arrecadação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ind w:left="7788" w:firstLine="707.9999999999995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        R$</w:t>
      </w:r>
    </w:p>
    <w:tbl>
      <w:tblPr>
        <w:tblStyle w:val="Table6"/>
        <w:tblW w:w="9464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27"/>
        <w:gridCol w:w="1644"/>
        <w:gridCol w:w="466"/>
        <w:gridCol w:w="1945"/>
        <w:gridCol w:w="236"/>
        <w:gridCol w:w="1646"/>
        <w:tblGridChange w:id="0">
          <w:tblGrid>
            <w:gridCol w:w="3527"/>
            <w:gridCol w:w="1644"/>
            <w:gridCol w:w="466"/>
            <w:gridCol w:w="1945"/>
            <w:gridCol w:w="236"/>
            <w:gridCol w:w="1646"/>
          </w:tblGrid>
        </w:tblGridChange>
      </w:tblGrid>
      <w:tr>
        <w:trPr>
          <w:cantSplit w:val="0"/>
          <w:trHeight w:val="337.9687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top"/>
          </w:tcPr>
          <w:p w:rsidR="00000000" w:rsidDel="00000000" w:rsidP="00000000" w:rsidRDefault="00000000" w:rsidRPr="00000000" w14:paraId="00000143">
            <w:pPr>
              <w:jc w:val="center"/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Receitas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144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Previsão atualizada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top"/>
          </w:tcPr>
          <w:p w:rsidR="00000000" w:rsidDel="00000000" w:rsidP="00000000" w:rsidRDefault="00000000" w:rsidRPr="00000000" w14:paraId="00000145">
            <w:pPr>
              <w:jc w:val="right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146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Arrecadada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top"/>
          </w:tcPr>
          <w:p w:rsidR="00000000" w:rsidDel="00000000" w:rsidP="00000000" w:rsidRDefault="00000000" w:rsidRPr="00000000" w14:paraId="00000147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148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Saldo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9">
            <w:pPr>
              <w:ind w:right="-675"/>
              <w:jc w:val="lef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Receita Patrimonial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14A">
            <w:pPr>
              <w:ind w:right="-675"/>
              <w:jc w:val="lef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326.456.578,00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B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C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199.299.238,97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D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4E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(127.157.339,03)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F">
            <w:pPr>
              <w:jc w:val="lef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Receitas de Serviços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150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215.401.734,00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1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2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65.293.415,74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3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54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(150.108.318,26)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5">
            <w:pPr>
              <w:jc w:val="lef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Outras Receitas Correntes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156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7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8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5.190.963,69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9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5A">
            <w:pPr>
              <w:ind w:left="0" w:firstLine="0"/>
              <w:jc w:val="right"/>
              <w:rPr>
                <w:sz w:val="16"/>
                <w:szCs w:val="16"/>
                <w:u w:val="none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5.185.328,27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B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Amortização de Empréstimos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15C">
            <w:pPr>
              <w:jc w:val="lef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485.272.543,00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D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E">
            <w:pPr>
              <w:jc w:val="lef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402.246.657,03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F">
            <w:pPr>
              <w:jc w:val="righ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60">
            <w:pPr>
              <w:jc w:val="left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(83.025.885,97)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top"/>
          </w:tcPr>
          <w:p w:rsidR="00000000" w:rsidDel="00000000" w:rsidP="00000000" w:rsidRDefault="00000000" w:rsidRPr="00000000" w14:paraId="00000161">
            <w:pPr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162">
            <w:pPr>
              <w:jc w:val="right"/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1.027.130.855,00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163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eece1" w:val="clear"/>
            <w:vAlign w:val="center"/>
          </w:tcPr>
          <w:p w:rsidR="00000000" w:rsidDel="00000000" w:rsidP="00000000" w:rsidRDefault="00000000" w:rsidRPr="00000000" w14:paraId="00000164">
            <w:pPr>
              <w:jc w:val="right"/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908.579.289,82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top"/>
          </w:tcPr>
          <w:p w:rsidR="00000000" w:rsidDel="00000000" w:rsidP="00000000" w:rsidRDefault="00000000" w:rsidRPr="00000000" w14:paraId="00000165">
            <w:pPr>
              <w:jc w:val="right"/>
              <w:rPr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eece1" w:val="clear"/>
            <w:vAlign w:val="top"/>
          </w:tcPr>
          <w:p w:rsidR="00000000" w:rsidDel="00000000" w:rsidP="00000000" w:rsidRDefault="00000000" w:rsidRPr="00000000" w14:paraId="00000166">
            <w:pPr>
              <w:jc w:val="right"/>
              <w:rPr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(355.100.579,57)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Fonte: SIAFI </w:t>
      </w:r>
      <w:r w:rsidDel="00000000" w:rsidR="00000000" w:rsidRPr="00000000">
        <w:rPr>
          <w:sz w:val="16"/>
          <w:szCs w:val="16"/>
          <w:rtl w:val="0"/>
        </w:rPr>
        <w:t xml:space="preserve">2024</w:t>
      </w:r>
    </w:p>
    <w:p w:rsidR="00000000" w:rsidDel="00000000" w:rsidP="00000000" w:rsidRDefault="00000000" w:rsidRPr="00000000" w14:paraId="00000168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Receitas Correntes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</w:t>
      </w:r>
      <w:r w:rsidDel="00000000" w:rsidR="00000000" w:rsidRPr="00000000">
        <w:rPr>
          <w:rtl w:val="0"/>
        </w:rPr>
        <w:t xml:space="preserve"> exercício</w:t>
      </w:r>
      <w:r w:rsidDel="00000000" w:rsidR="00000000" w:rsidRPr="00000000">
        <w:rPr>
          <w:vertAlign w:val="baseline"/>
          <w:rtl w:val="0"/>
        </w:rPr>
        <w:t xml:space="preserve">, o órgão 74918 arrecadou </w:t>
      </w: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vertAlign w:val="baseline"/>
          <w:rtl w:val="0"/>
        </w:rPr>
        <w:t xml:space="preserve">eceitas </w:t>
      </w:r>
      <w:r w:rsidDel="00000000" w:rsidR="00000000" w:rsidRPr="00000000">
        <w:rPr>
          <w:rtl w:val="0"/>
        </w:rPr>
        <w:t xml:space="preserve">correntes</w:t>
      </w:r>
      <w:r w:rsidDel="00000000" w:rsidR="00000000" w:rsidRPr="00000000">
        <w:rPr>
          <w:vertAlign w:val="baseline"/>
          <w:rtl w:val="0"/>
        </w:rPr>
        <w:t xml:space="preserve"> no total de R</w:t>
      </w:r>
      <w:r w:rsidDel="00000000" w:rsidR="00000000" w:rsidRPr="00000000">
        <w:rPr>
          <w:rtl w:val="0"/>
        </w:rPr>
        <w:t xml:space="preserve">$ 269.783.618,40.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vertAlign w:val="baseline"/>
          <w:rtl w:val="0"/>
        </w:rPr>
        <w:t xml:space="preserve">As receitas de valores mobiliários correspondem a </w:t>
      </w:r>
      <w:r w:rsidDel="00000000" w:rsidR="00000000" w:rsidRPr="00000000">
        <w:rPr>
          <w:rtl w:val="0"/>
        </w:rPr>
        <w:t xml:space="preserve">73,87</w:t>
      </w:r>
      <w:r w:rsidDel="00000000" w:rsidR="00000000" w:rsidRPr="00000000">
        <w:rPr>
          <w:vertAlign w:val="baseline"/>
          <w:rtl w:val="0"/>
        </w:rPr>
        <w:t xml:space="preserve">% das receitas correntes. Elas são origin</w:t>
      </w:r>
      <w:r w:rsidDel="00000000" w:rsidR="00000000" w:rsidRPr="00000000">
        <w:rPr>
          <w:rtl w:val="0"/>
        </w:rPr>
        <w:t xml:space="preserve">á</w:t>
      </w:r>
      <w:r w:rsidDel="00000000" w:rsidR="00000000" w:rsidRPr="00000000">
        <w:rPr>
          <w:vertAlign w:val="baseline"/>
          <w:rtl w:val="0"/>
        </w:rPr>
        <w:t xml:space="preserve">rias da remuneração dos recursos aplicados </w:t>
      </w:r>
      <w:r w:rsidDel="00000000" w:rsidR="00000000" w:rsidRPr="00000000">
        <w:rPr>
          <w:rtl w:val="0"/>
        </w:rPr>
        <w:t xml:space="preserve">na conta única. As </w:t>
      </w:r>
      <w:r w:rsidDel="00000000" w:rsidR="00000000" w:rsidRPr="00000000">
        <w:rPr>
          <w:vertAlign w:val="baseline"/>
          <w:rtl w:val="0"/>
        </w:rPr>
        <w:t xml:space="preserve">de serviços, oriundas, nota</w:t>
      </w:r>
      <w:r w:rsidDel="00000000" w:rsidR="00000000" w:rsidRPr="00000000">
        <w:rPr>
          <w:rtl w:val="0"/>
        </w:rPr>
        <w:t xml:space="preserve">damente, de juros e encargos dos empréstimos concedidos, são correspondentes ao percentual de 24,20% das receitas correntes.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Receitas de Capital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A totalidade das Receitas de Capital se refere, notadamente, à amortização do principal de empréstimos concedidos via FDNE</w:t>
      </w:r>
      <w:r w:rsidDel="00000000" w:rsidR="00000000" w:rsidRPr="00000000">
        <w:rPr>
          <w:b w:val="1"/>
          <w:rtl w:val="0"/>
        </w:rPr>
        <w:t xml:space="preserve">. </w:t>
      </w:r>
      <w:r w:rsidDel="00000000" w:rsidR="00000000" w:rsidRPr="00000000">
        <w:rPr>
          <w:rtl w:val="0"/>
        </w:rPr>
        <w:t xml:space="preserve">Foram arrecadadas no exercício de 2024 o montante de R$ 402.246.657,03 nessa categoria.</w:t>
      </w:r>
    </w:p>
    <w:p w:rsidR="00000000" w:rsidDel="00000000" w:rsidP="00000000" w:rsidRDefault="00000000" w:rsidRPr="00000000" w14:paraId="0000017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Despesas Orçamentárias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A Dotação inicial foi de R$ 1.027.130.855,00 e com aprovação de crédito suplementar a dotação atualizada foi de R$ 1.037.418.967,00. N</w:t>
      </w:r>
      <w:r w:rsidDel="00000000" w:rsidR="00000000" w:rsidRPr="00000000">
        <w:rPr>
          <w:vertAlign w:val="baseline"/>
          <w:rtl w:val="0"/>
        </w:rPr>
        <w:t xml:space="preserve">ão houve dotação </w:t>
      </w:r>
      <w:r w:rsidDel="00000000" w:rsidR="00000000" w:rsidRPr="00000000">
        <w:rPr>
          <w:rtl w:val="0"/>
        </w:rPr>
        <w:t xml:space="preserve">inicial </w:t>
      </w:r>
      <w:r w:rsidDel="00000000" w:rsidR="00000000" w:rsidRPr="00000000">
        <w:rPr>
          <w:vertAlign w:val="baseline"/>
          <w:rtl w:val="0"/>
        </w:rPr>
        <w:t xml:space="preserve">em despesas correntes.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ind w:left="7080" w:firstLine="707.9999999999995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rtl w:val="0"/>
        </w:rPr>
        <w:t xml:space="preserve">Restos a pagar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 acumulado</w:t>
      </w:r>
      <w:r w:rsidDel="00000000" w:rsidR="00000000" w:rsidRPr="00000000">
        <w:rPr>
          <w:rtl w:val="0"/>
        </w:rPr>
        <w:t xml:space="preserve">, até o quarto trimestre de 2024</w:t>
      </w:r>
      <w:r w:rsidDel="00000000" w:rsidR="00000000" w:rsidRPr="00000000">
        <w:rPr>
          <w:vertAlign w:val="baseline"/>
          <w:rtl w:val="0"/>
        </w:rPr>
        <w:t xml:space="preserve">, fo</w:t>
      </w:r>
      <w:r w:rsidDel="00000000" w:rsidR="00000000" w:rsidRPr="00000000">
        <w:rPr>
          <w:rtl w:val="0"/>
        </w:rPr>
        <w:t xml:space="preserve">ram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liberados R$ 1.050.774.336,68</w:t>
      </w:r>
      <w:r w:rsidDel="00000000" w:rsidR="00000000" w:rsidRPr="00000000">
        <w:rPr>
          <w:vertAlign w:val="baseline"/>
          <w:rtl w:val="0"/>
        </w:rPr>
        <w:t xml:space="preserve"> para projetos do 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vertAlign w:val="baseline"/>
          <w:rtl w:val="0"/>
        </w:rPr>
        <w:t xml:space="preserve">FDNE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jc w:val="left"/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NOTA EXPLICATIVA – BF – BALANÇO FINANCEIRO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jc w:val="lef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 Balanço Financeiro (BF) evidencia as receitas e despesas orçamentárias, bem como os ingressos e dispêndios extraorçamentários, conjugados com os saldos de caixa do exercício anterior e os que se transferem para o início do exercício seguinte.</w:t>
      </w:r>
    </w:p>
    <w:p w:rsidR="00000000" w:rsidDel="00000000" w:rsidP="00000000" w:rsidRDefault="00000000" w:rsidRPr="00000000" w14:paraId="0000018C">
      <w:pPr>
        <w:jc w:val="lef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jc w:val="left"/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Receitas Orçamentárias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jc w:val="lef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Tabela 0</w:t>
      </w:r>
      <w:r w:rsidDel="00000000" w:rsidR="00000000" w:rsidRPr="00000000">
        <w:rPr>
          <w:b w:val="1"/>
          <w:rtl w:val="0"/>
        </w:rPr>
        <w:t xml:space="preserve">7</w:t>
      </w:r>
      <w:r w:rsidDel="00000000" w:rsidR="00000000" w:rsidRPr="00000000">
        <w:rPr>
          <w:b w:val="1"/>
          <w:vertAlign w:val="baseline"/>
          <w:rtl w:val="0"/>
        </w:rPr>
        <w:t xml:space="preserve"> – Receitas Vinculadas e ordinárias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ind w:left="8496" w:firstLine="0"/>
        <w:jc w:val="left"/>
        <w:rPr>
          <w:vertAlign w:val="baseline"/>
        </w:rPr>
      </w:pPr>
      <w:r w:rsidDel="00000000" w:rsidR="00000000" w:rsidRPr="00000000">
        <w:rPr>
          <w:sz w:val="18"/>
          <w:szCs w:val="18"/>
          <w:vertAlign w:val="baseline"/>
          <w:rtl w:val="0"/>
        </w:rPr>
        <w:t xml:space="preserve"> R$ </w:t>
      </w:r>
      <w:r w:rsidDel="00000000" w:rsidR="00000000" w:rsidRPr="00000000">
        <w:rPr>
          <w:rtl w:val="0"/>
        </w:rPr>
      </w:r>
    </w:p>
    <w:tbl>
      <w:tblPr>
        <w:tblStyle w:val="Table7"/>
        <w:tblW w:w="9210.0" w:type="dxa"/>
        <w:jc w:val="left"/>
        <w:tblInd w:w="-108.0" w:type="dxa"/>
        <w:tblLayout w:type="fixed"/>
        <w:tblLook w:val="0000"/>
      </w:tblPr>
      <w:tblGrid>
        <w:gridCol w:w="4658"/>
        <w:gridCol w:w="1754"/>
        <w:gridCol w:w="1754"/>
        <w:gridCol w:w="1044"/>
        <w:tblGridChange w:id="0">
          <w:tblGrid>
            <w:gridCol w:w="4658"/>
            <w:gridCol w:w="1754"/>
            <w:gridCol w:w="1754"/>
            <w:gridCol w:w="1044"/>
          </w:tblGrid>
        </w:tblGridChange>
      </w:tblGrid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191">
            <w:pPr>
              <w:jc w:val="left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192">
            <w:pPr>
              <w:jc w:val="right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1/12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193">
            <w:pPr>
              <w:jc w:val="right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12/2024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194">
            <w:pPr>
              <w:jc w:val="right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AH (%)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5">
            <w:pPr>
              <w:jc w:val="lef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Vinculadas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6">
            <w:pPr>
              <w:jc w:val="righ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908.579.289,82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7">
            <w:pPr>
              <w:jc w:val="righ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672.030.275,43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8">
            <w:pPr>
              <w:jc w:val="righ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9">
            <w:pPr>
              <w:jc w:val="lef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Ordinárias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A">
            <w:pPr>
              <w:jc w:val="righ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B">
            <w:pPr>
              <w:jc w:val="righ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C">
            <w:pPr>
              <w:jc w:val="righ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           </w:t>
            </w:r>
          </w:p>
        </w:tc>
      </w:tr>
      <w:tr>
        <w:trPr>
          <w:cantSplit w:val="0"/>
          <w:trHeight w:val="221.982421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D">
            <w:pPr>
              <w:jc w:val="lef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E">
            <w:pPr>
              <w:jc w:val="lef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F">
            <w:pPr>
              <w:jc w:val="lef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A0">
            <w:pPr>
              <w:jc w:val="righ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1A1">
            <w:pPr>
              <w:jc w:val="left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1A2">
            <w:pPr>
              <w:jc w:val="left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    908.579.289,82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1A3">
            <w:pPr>
              <w:jc w:val="right"/>
              <w:rPr>
                <w:b w:val="1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672.030.275,43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c0c0c0" w:val="clear"/>
            <w:vAlign w:val="top"/>
          </w:tcPr>
          <w:p w:rsidR="00000000" w:rsidDel="00000000" w:rsidP="00000000" w:rsidRDefault="00000000" w:rsidRPr="00000000" w14:paraId="000001A4">
            <w:pPr>
              <w:jc w:val="right"/>
              <w:rPr>
                <w:b w:val="1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(26,04)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jc w:val="left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Fonte: SIAFI </w:t>
      </w:r>
      <w:r w:rsidDel="00000000" w:rsidR="00000000" w:rsidRPr="00000000">
        <w:rPr>
          <w:sz w:val="16"/>
          <w:szCs w:val="16"/>
          <w:rtl w:val="0"/>
        </w:rPr>
        <w:t xml:space="preserve">2023 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e </w:t>
      </w:r>
      <w:r w:rsidDel="00000000" w:rsidR="00000000" w:rsidRPr="00000000">
        <w:rPr>
          <w:sz w:val="16"/>
          <w:szCs w:val="16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Transferências Financeiras Recebidas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vertAlign w:val="baseline"/>
          <w:rtl w:val="0"/>
        </w:rPr>
        <w:t xml:space="preserve">Receitas provenientes da transferência de recursos à UG do FDNE</w:t>
      </w:r>
      <w:r w:rsidDel="00000000" w:rsidR="00000000" w:rsidRPr="00000000">
        <w:rPr>
          <w:rtl w:val="0"/>
        </w:rPr>
        <w:t xml:space="preserve"> (do orçamento do exercício e de restos a pagar) </w:t>
      </w:r>
      <w:r w:rsidDel="00000000" w:rsidR="00000000" w:rsidRPr="00000000">
        <w:rPr>
          <w:vertAlign w:val="baseline"/>
          <w:rtl w:val="0"/>
        </w:rPr>
        <w:t xml:space="preserve">e da movimentação de saldos patrimoniais. O total foi de R</w:t>
      </w:r>
      <w:r w:rsidDel="00000000" w:rsidR="00000000" w:rsidRPr="00000000">
        <w:rPr>
          <w:rtl w:val="0"/>
        </w:rPr>
        <w:t xml:space="preserve">$ 820.753.234,28.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Recebimentos Extraorçamentários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Ocorreram recebimentos extraordinários no exercício de 2024, no valor de R$ 646.861.044,84, relacionados à inscrição de restos a pagar processados e não processados.</w:t>
      </w:r>
    </w:p>
    <w:p w:rsidR="00000000" w:rsidDel="00000000" w:rsidP="00000000" w:rsidRDefault="00000000" w:rsidRPr="00000000" w14:paraId="000001AE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Despesas Orçamentárias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ind w:hanging="2"/>
        <w:rPr>
          <w:vertAlign w:val="baseline"/>
        </w:rPr>
      </w:pPr>
      <w:r w:rsidDel="00000000" w:rsidR="00000000" w:rsidRPr="00000000">
        <w:rPr>
          <w:rtl w:val="0"/>
        </w:rPr>
        <w:t xml:space="preserve">Refere-se, principalmente, à inscrição de restos a pagar para compensar as despesas orçamentárias registradas e que ainda não foram pagas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Transferências Financeiras Concedidas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Valor de R</w:t>
      </w:r>
      <w:r w:rsidDel="00000000" w:rsidR="00000000" w:rsidRPr="00000000">
        <w:rPr>
          <w:rtl w:val="0"/>
        </w:rPr>
        <w:t xml:space="preserve">$ 467.545.708,19</w:t>
      </w:r>
      <w:r w:rsidDel="00000000" w:rsidR="00000000" w:rsidRPr="00000000">
        <w:rPr>
          <w:vertAlign w:val="baseline"/>
          <w:rtl w:val="0"/>
        </w:rPr>
        <w:t xml:space="preserve">, referente à movimentação de saldos patrimoniais.</w:t>
      </w:r>
    </w:p>
    <w:p w:rsidR="00000000" w:rsidDel="00000000" w:rsidP="00000000" w:rsidRDefault="00000000" w:rsidRPr="00000000" w14:paraId="000001B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rtl w:val="0"/>
        </w:rPr>
        <w:t xml:space="preserve">Pagamentos </w:t>
      </w:r>
      <w:r w:rsidDel="00000000" w:rsidR="00000000" w:rsidRPr="00000000">
        <w:rPr>
          <w:b w:val="1"/>
          <w:u w:val="single"/>
          <w:vertAlign w:val="baseline"/>
          <w:rtl w:val="0"/>
        </w:rPr>
        <w:t xml:space="preserve">Extraorçamentárias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vertAlign w:val="baseline"/>
          <w:rtl w:val="0"/>
        </w:rPr>
        <w:t xml:space="preserve">Relativos </w:t>
      </w:r>
      <w:r w:rsidDel="00000000" w:rsidR="00000000" w:rsidRPr="00000000">
        <w:rPr>
          <w:rtl w:val="0"/>
        </w:rPr>
        <w:t xml:space="preserve">a pagamentos de restos a pagar (processados e não processados) </w:t>
      </w:r>
      <w:r w:rsidDel="00000000" w:rsidR="00000000" w:rsidRPr="00000000">
        <w:rPr>
          <w:vertAlign w:val="baseline"/>
          <w:rtl w:val="0"/>
        </w:rPr>
        <w:t xml:space="preserve">no valor de</w:t>
      </w:r>
      <w:r w:rsidDel="00000000" w:rsidR="00000000" w:rsidRPr="00000000">
        <w:rPr>
          <w:rtl w:val="0"/>
        </w:rPr>
        <w:t xml:space="preserve"> R</w:t>
      </w:r>
      <w:r w:rsidDel="00000000" w:rsidR="00000000" w:rsidRPr="00000000">
        <w:rPr>
          <w:vertAlign w:val="baseline"/>
          <w:rtl w:val="0"/>
        </w:rPr>
        <w:t xml:space="preserve">$ </w:t>
      </w:r>
      <w:r w:rsidDel="00000000" w:rsidR="00000000" w:rsidRPr="00000000">
        <w:rPr>
          <w:rtl w:val="0"/>
        </w:rPr>
        <w:t xml:space="preserve">1.074.630.258,68.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20"/>
          <w:szCs w:val="20"/>
          <w:u w:val="single"/>
          <w:shd w:fill="auto" w:val="clear"/>
          <w:vertAlign w:val="baseline"/>
          <w:rtl w:val="0"/>
        </w:rPr>
        <w:t xml:space="preserve">Saldo para o Exercício Seguinte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O Saldo para exercício seguinte apresenta</w:t>
      </w:r>
      <w:r w:rsidDel="00000000" w:rsidR="00000000" w:rsidRPr="00000000">
        <w:rPr>
          <w:rtl w:val="0"/>
        </w:rPr>
        <w:t xml:space="preserve"> R$ 2.065.165.851,05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BE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jc w:val="left"/>
        <w:rPr>
          <w:u w:val="single"/>
          <w:vertAlign w:val="baseline"/>
        </w:rPr>
      </w:pPr>
      <w:r w:rsidDel="00000000" w:rsidR="00000000" w:rsidRPr="00000000">
        <w:rPr>
          <w:b w:val="1"/>
          <w:u w:val="single"/>
          <w:rtl w:val="0"/>
        </w:rPr>
        <w:t xml:space="preserve">N</w:t>
      </w:r>
      <w:r w:rsidDel="00000000" w:rsidR="00000000" w:rsidRPr="00000000">
        <w:rPr>
          <w:b w:val="1"/>
          <w:u w:val="single"/>
          <w:vertAlign w:val="baseline"/>
          <w:rtl w:val="0"/>
        </w:rPr>
        <w:t xml:space="preserve">OTA EXPLICATIVA – DEMONSTRAÇÃO DO FLUXOS DE CAIXA - DFC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jc w:val="left"/>
        <w:rPr>
          <w:b w:val="0"/>
          <w:i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Demonstração dos Fluxos de Caixa (DFC) apresenta as entradas e saídas de caixa e as classifica em fluxo operacional, de investimento e de financiamento.</w:t>
      </w:r>
    </w:p>
    <w:p w:rsidR="00000000" w:rsidDel="00000000" w:rsidP="00000000" w:rsidRDefault="00000000" w:rsidRPr="00000000" w14:paraId="000001CE">
      <w:pPr>
        <w:jc w:val="lef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Fluxos de caixa das atividades operacionais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Ingressos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Os ingressos totais operacionais foram</w:t>
      </w:r>
      <w:r w:rsidDel="00000000" w:rsidR="00000000" w:rsidRPr="00000000">
        <w:rPr>
          <w:rtl w:val="0"/>
        </w:rPr>
        <w:t xml:space="preserve"> R$ 1.090.536.852,68.</w:t>
      </w:r>
      <w:r w:rsidDel="00000000" w:rsidR="00000000" w:rsidRPr="00000000">
        <w:rPr>
          <w:vertAlign w:val="baseline"/>
          <w:rtl w:val="0"/>
        </w:rPr>
        <w:t xml:space="preserve"> Desse </w:t>
      </w:r>
      <w:r w:rsidDel="00000000" w:rsidR="00000000" w:rsidRPr="00000000">
        <w:rPr>
          <w:rtl w:val="0"/>
        </w:rPr>
        <w:t xml:space="preserve">montante, os ingressos mais relevantes se referem a transferências financeiras recebidas (R$ 820.753.234,28), remuneração das disponibilidades, no valor de </w:t>
      </w:r>
      <w:r w:rsidDel="00000000" w:rsidR="00000000" w:rsidRPr="00000000">
        <w:rPr>
          <w:vertAlign w:val="baseline"/>
          <w:rtl w:val="0"/>
        </w:rPr>
        <w:t xml:space="preserve">R$ </w:t>
      </w:r>
      <w:r w:rsidDel="00000000" w:rsidR="00000000" w:rsidRPr="00000000">
        <w:rPr>
          <w:rtl w:val="0"/>
        </w:rPr>
        <w:t xml:space="preserve">199.299.238,97 e as receitas de serviços, no valor de R$ 65.293.415,74, notadamente relacionadas aos juros e encargos dos empréstimos concedidos.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Desembolsos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Transferências </w:t>
      </w:r>
      <w:r w:rsidDel="00000000" w:rsidR="00000000" w:rsidRPr="00000000">
        <w:rPr>
          <w:rtl w:val="0"/>
        </w:rPr>
        <w:t xml:space="preserve">concedidas</w:t>
      </w:r>
      <w:r w:rsidDel="00000000" w:rsidR="00000000" w:rsidRPr="00000000">
        <w:rPr>
          <w:vertAlign w:val="baseline"/>
          <w:rtl w:val="0"/>
        </w:rPr>
        <w:t xml:space="preserve">, no valor de </w:t>
      </w:r>
      <w:r w:rsidDel="00000000" w:rsidR="00000000" w:rsidRPr="00000000">
        <w:rPr>
          <w:rtl w:val="0"/>
        </w:rPr>
        <w:t xml:space="preserve">R$ 467.545.708,19,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no acumulado até o quarto trimestre (relativo à movimentação de saldos patrimoniais, registrado na rubrica 3.5.1.2.2.03.00). </w:t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Fluxos de caixa d</w:t>
      </w:r>
      <w:r w:rsidDel="00000000" w:rsidR="00000000" w:rsidRPr="00000000">
        <w:rPr>
          <w:b w:val="1"/>
          <w:u w:val="single"/>
          <w:rtl w:val="0"/>
        </w:rPr>
        <w:t xml:space="preserve">as atividades de</w:t>
      </w:r>
      <w:r w:rsidDel="00000000" w:rsidR="00000000" w:rsidRPr="00000000">
        <w:rPr>
          <w:b w:val="1"/>
          <w:u w:val="single"/>
          <w:vertAlign w:val="baseline"/>
          <w:rtl w:val="0"/>
        </w:rPr>
        <w:t xml:space="preserve"> investimentos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Ingressos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rPr>
          <w:b w:val="0"/>
          <w:vertAlign w:val="baseline"/>
        </w:rPr>
      </w:pPr>
      <w:r w:rsidDel="00000000" w:rsidR="00000000" w:rsidRPr="00000000">
        <w:rPr>
          <w:rtl w:val="0"/>
        </w:rPr>
        <w:t xml:space="preserve">Receitas oriundas</w:t>
      </w:r>
      <w:r w:rsidDel="00000000" w:rsidR="00000000" w:rsidRPr="00000000">
        <w:rPr>
          <w:vertAlign w:val="baseline"/>
          <w:rtl w:val="0"/>
        </w:rPr>
        <w:t xml:space="preserve"> das atividades de investimento se referem à amortização do principal de empréstimos concedidos via FDNE</w:t>
      </w:r>
      <w:r w:rsidDel="00000000" w:rsidR="00000000" w:rsidRPr="00000000">
        <w:rPr>
          <w:b w:val="1"/>
          <w:vertAlign w:val="baseline"/>
          <w:rtl w:val="0"/>
        </w:rPr>
        <w:t xml:space="preserve">. </w:t>
      </w:r>
      <w:r w:rsidDel="00000000" w:rsidR="00000000" w:rsidRPr="00000000">
        <w:rPr>
          <w:vertAlign w:val="baseline"/>
          <w:rtl w:val="0"/>
        </w:rPr>
        <w:t xml:space="preserve">Foram </w:t>
      </w:r>
      <w:r w:rsidDel="00000000" w:rsidR="00000000" w:rsidRPr="00000000">
        <w:rPr>
          <w:rtl w:val="0"/>
        </w:rPr>
        <w:t xml:space="preserve">arrecadados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 R$ 402.246.657,03</w:t>
      </w:r>
      <w:r w:rsidDel="00000000" w:rsidR="00000000" w:rsidRPr="00000000">
        <w:rPr>
          <w:vertAlign w:val="baseline"/>
          <w:rtl w:val="0"/>
        </w:rPr>
        <w:t xml:space="preserve"> nessa categoria.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Desembolsos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Relativos à concessão de empréstimos e financiamentos no valor de </w:t>
      </w:r>
      <w:r w:rsidDel="00000000" w:rsidR="00000000" w:rsidRPr="00000000">
        <w:rPr>
          <w:rtl w:val="0"/>
        </w:rPr>
        <w:t xml:space="preserve">R$ 1.058.774.336,68.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Fluxos de </w:t>
      </w:r>
      <w:r w:rsidDel="00000000" w:rsidR="00000000" w:rsidRPr="00000000">
        <w:rPr>
          <w:b w:val="1"/>
          <w:u w:val="single"/>
          <w:rtl w:val="0"/>
        </w:rPr>
        <w:t xml:space="preserve">c</w:t>
      </w:r>
      <w:r w:rsidDel="00000000" w:rsidR="00000000" w:rsidRPr="00000000">
        <w:rPr>
          <w:b w:val="1"/>
          <w:u w:val="single"/>
          <w:vertAlign w:val="baseline"/>
          <w:rtl w:val="0"/>
        </w:rPr>
        <w:t xml:space="preserve">aixa d</w:t>
      </w:r>
      <w:r w:rsidDel="00000000" w:rsidR="00000000" w:rsidRPr="00000000">
        <w:rPr>
          <w:b w:val="1"/>
          <w:u w:val="single"/>
          <w:rtl w:val="0"/>
        </w:rPr>
        <w:t xml:space="preserve">as atividades de</w:t>
      </w:r>
      <w:r w:rsidDel="00000000" w:rsidR="00000000" w:rsidRPr="00000000">
        <w:rPr>
          <w:b w:val="1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b w:val="1"/>
          <w:u w:val="single"/>
          <w:rtl w:val="0"/>
        </w:rPr>
        <w:t xml:space="preserve">f</w:t>
      </w:r>
      <w:r w:rsidDel="00000000" w:rsidR="00000000" w:rsidRPr="00000000">
        <w:rPr>
          <w:b w:val="1"/>
          <w:u w:val="single"/>
          <w:vertAlign w:val="baseline"/>
          <w:rtl w:val="0"/>
        </w:rPr>
        <w:t xml:space="preserve">inanciamento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Não houve.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Geração Líquida de Caixa e Equivalente de Caixa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No exercício de </w:t>
      </w:r>
      <w:r w:rsidDel="00000000" w:rsidR="00000000" w:rsidRPr="00000000">
        <w:rPr>
          <w:rtl w:val="0"/>
        </w:rPr>
        <w:t xml:space="preserve">2024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, até o </w:t>
      </w:r>
      <w:r w:rsidDel="00000000" w:rsidR="00000000" w:rsidRPr="00000000">
        <w:rPr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ês de </w:t>
      </w:r>
      <w:r w:rsidDel="00000000" w:rsidR="00000000" w:rsidRPr="00000000">
        <w:rPr>
          <w:rtl w:val="0"/>
        </w:rPr>
        <w:t xml:space="preserve">dezembro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, foram </w:t>
      </w:r>
      <w:r w:rsidDel="00000000" w:rsidR="00000000" w:rsidRPr="00000000">
        <w:rPr>
          <w:rtl w:val="0"/>
        </w:rPr>
        <w:t xml:space="preserve">consumidos R$ 57.392.457,16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líquidos de caixa e equivalentes de caixa no órgão 74918.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color w:val="000000"/>
        <w:vertAlign w:val="baseline"/>
      </w:rPr>
    </w:pPr>
    <w:r w:rsidDel="00000000" w:rsidR="00000000" w:rsidRPr="00000000">
      <w:rPr>
        <w:rtl w:val="0"/>
      </w:rPr>
    </w:r>
  </w:p>
  <w:tbl>
    <w:tblPr>
      <w:tblStyle w:val="Table8"/>
      <w:tblW w:w="9286.0" w:type="dxa"/>
      <w:jc w:val="left"/>
      <w:tblInd w:w="-108.0" w:type="dxa"/>
      <w:tblLayout w:type="fixed"/>
      <w:tblLook w:val="0000"/>
    </w:tblPr>
    <w:tblGrid>
      <w:gridCol w:w="2025"/>
      <w:gridCol w:w="7261"/>
      <w:tblGridChange w:id="0">
        <w:tblGrid>
          <w:gridCol w:w="2025"/>
          <w:gridCol w:w="7261"/>
        </w:tblGrid>
      </w:tblGridChange>
    </w:tblGrid>
    <w:tr>
      <w:trPr>
        <w:cantSplit w:val="0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1E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1148715" cy="539115"/>
                <wp:effectExtent b="0" l="0" r="0" t="0"/>
                <wp:docPr id="103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715" cy="5391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1E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Ministério d</w:t>
          </w:r>
          <w:r w:rsidDel="00000000" w:rsidR="00000000" w:rsidRPr="00000000">
            <w:rPr>
              <w:sz w:val="16"/>
              <w:szCs w:val="16"/>
              <w:rtl w:val="0"/>
            </w:rPr>
            <w:t xml:space="preserve">o Desenvolvimento Regional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E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Superintendência do Desenvolvimento do Nordeste – Sudene</w:t>
          </w:r>
        </w:p>
        <w:p w:rsidR="00000000" w:rsidDel="00000000" w:rsidP="00000000" w:rsidRDefault="00000000" w:rsidRPr="00000000" w14:paraId="000001E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Diretoria de Administração</w:t>
          </w:r>
        </w:p>
        <w:p w:rsidR="00000000" w:rsidDel="00000000" w:rsidP="00000000" w:rsidRDefault="00000000" w:rsidRPr="00000000" w14:paraId="000001F0">
          <w:pPr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Coordenação de Orçamento, Contabilidade e Finanças – COCF</w:t>
          </w:r>
        </w:p>
      </w:tc>
    </w:tr>
    <w:tr>
      <w:trPr>
        <w:cantSplit w:val="0"/>
        <w:trHeight w:val="225" w:hRule="atLeast"/>
        <w:tblHeader w:val="0"/>
      </w:trPr>
      <w:tc>
        <w:tcPr>
          <w:gridSpan w:val="2"/>
          <w:tcBorders>
            <w:top w:color="000000" w:space="0" w:sz="4" w:val="single"/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1F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 Nota Explicativa do </w:t>
          </w:r>
          <w:r w:rsidDel="00000000" w:rsidR="00000000" w:rsidRPr="00000000">
            <w:rPr>
              <w:b w:val="1"/>
              <w:rtl w:val="0"/>
            </w:rPr>
            <w:t xml:space="preserve">4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T/20</w:t>
          </w:r>
          <w:r w:rsidDel="00000000" w:rsidR="00000000" w:rsidRPr="00000000">
            <w:rPr>
              <w:b w:val="1"/>
              <w:rtl w:val="0"/>
            </w:rPr>
            <w:t xml:space="preserve">24</w:t>
          </w:r>
        </w:p>
      </w:tc>
    </w:tr>
  </w:tbl>
  <w:p w:rsidR="00000000" w:rsidDel="00000000" w:rsidP="00000000" w:rsidRDefault="00000000" w:rsidRPr="00000000" w14:paraId="000001F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4"/>
        <w:szCs w:val="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pt-B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Cs w:val="22"/>
      <w:effect w:val="none"/>
      <w:vertAlign w:val="baseline"/>
      <w:cs w:val="0"/>
      <w:em w:val="none"/>
      <w:lang w:bidi="ar-SA" w:eastAsia="en-US" w:val="pt-BR"/>
    </w:rPr>
  </w:style>
  <w:style w:type="paragraph" w:styleId="Título3">
    <w:name w:val="Título 3"/>
    <w:basedOn w:val="Normal"/>
    <w:next w:val="Normal"/>
    <w:autoRedefine w:val="0"/>
    <w:hidden w:val="0"/>
    <w:qFormat w:val="1"/>
    <w:pPr>
      <w:keepNext w:val="1"/>
      <w:keepLines w:val="1"/>
      <w:numPr>
        <w:ilvl w:val="0"/>
        <w:numId w:val="2"/>
      </w:num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Arial" w:eastAsia="Times New Roman" w:hAnsi="Arial"/>
      <w:b w:val="1"/>
      <w:w w:val="100"/>
      <w:position w:val="-1"/>
      <w:szCs w:val="24"/>
      <w:effect w:val="none"/>
      <w:vertAlign w:val="baseline"/>
      <w:cs w:val="0"/>
      <w:em w:val="none"/>
      <w:lang w:bidi="ar-SA" w:eastAsia="und" w:val="und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1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Cs w:val="20"/>
      <w:effect w:val="none"/>
      <w:vertAlign w:val="baseline"/>
      <w:cs w:val="0"/>
      <w:em w:val="none"/>
      <w:lang w:bidi="ar-SA" w:eastAsia="und" w:val="und"/>
    </w:rPr>
  </w:style>
  <w:style w:type="character" w:styleId="CabeçalhoChar">
    <w:name w:val="Cabeçalho Char"/>
    <w:next w:val="CabeçalhoChar"/>
    <w:autoRedefine w:val="0"/>
    <w:hidden w:val="0"/>
    <w:qFormat w:val="0"/>
    <w:rPr>
      <w:rFonts w:ascii="Arial" w:hAnsi="Arial"/>
      <w:w w:val="100"/>
      <w:position w:val="-1"/>
      <w:sz w:val="20"/>
      <w:effect w:val="none"/>
      <w:vertAlign w:val="baseline"/>
      <w:cs w:val="0"/>
      <w:em w:val="none"/>
      <w:lang/>
    </w:rPr>
  </w:style>
  <w:style w:type="paragraph" w:styleId="Rodapé">
    <w:name w:val="Rodapé"/>
    <w:basedOn w:val="Normal"/>
    <w:next w:val="Rodapé"/>
    <w:autoRedefine w:val="0"/>
    <w:hidden w:val="0"/>
    <w:qFormat w:val="1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Cs w:val="20"/>
      <w:effect w:val="none"/>
      <w:vertAlign w:val="baseline"/>
      <w:cs w:val="0"/>
      <w:em w:val="none"/>
      <w:lang w:bidi="ar-SA" w:eastAsia="und" w:val="und"/>
    </w:rPr>
  </w:style>
  <w:style w:type="character" w:styleId="RodapéChar">
    <w:name w:val="Rodapé Char"/>
    <w:next w:val="RodapéChar"/>
    <w:autoRedefine w:val="0"/>
    <w:hidden w:val="0"/>
    <w:qFormat w:val="0"/>
    <w:rPr>
      <w:rFonts w:ascii="Arial" w:hAnsi="Arial"/>
      <w:w w:val="100"/>
      <w:position w:val="-1"/>
      <w:sz w:val="20"/>
      <w:effect w:val="none"/>
      <w:vertAlign w:val="baseline"/>
      <w:cs w:val="0"/>
      <w:em w:val="none"/>
      <w:lang/>
    </w:rPr>
  </w:style>
  <w:style w:type="table" w:styleId="Tabelacomgrade">
    <w:name w:val="Tabela com grade"/>
    <w:basedOn w:val="Tabelanormal"/>
    <w:next w:val="Tabelacomgrade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comgrade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Cs w:val="22"/>
      <w:effect w:val="none"/>
      <w:vertAlign w:val="baseline"/>
      <w:cs w:val="0"/>
      <w:em w:val="none"/>
      <w:lang w:bidi="ar-SA" w:eastAsia="en-US" w:val="pt-BR"/>
    </w:rPr>
  </w:style>
  <w:style w:type="paragraph" w:styleId="Tabela">
    <w:name w:val="Tabela"/>
    <w:basedOn w:val="Normal"/>
    <w:next w:val="Tabela"/>
    <w:autoRedefine w:val="0"/>
    <w:hidden w:val="0"/>
    <w:qFormat w:val="0"/>
    <w:pPr>
      <w:numPr>
        <w:ilvl w:val="0"/>
        <w:numId w:val="1"/>
      </w:numPr>
      <w:shd w:color="auto" w:fill="ffffff" w:val="clear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eastAsia="Times New Roman" w:hAnsi="Arial"/>
      <w:b w:val="1"/>
      <w:w w:val="100"/>
      <w:position w:val="-1"/>
      <w:szCs w:val="24"/>
      <w:effect w:val="none"/>
      <w:vertAlign w:val="baseline"/>
      <w:cs w:val="0"/>
      <w:em w:val="none"/>
      <w:lang w:bidi="ar-SA" w:eastAsia="pt-BR" w:val="und"/>
    </w:rPr>
  </w:style>
  <w:style w:type="character" w:styleId="TabelaChar">
    <w:name w:val="Tabela Char"/>
    <w:next w:val="TabelaChar"/>
    <w:autoRedefine w:val="0"/>
    <w:hidden w:val="0"/>
    <w:qFormat w:val="0"/>
    <w:rPr>
      <w:rFonts w:ascii="Arial" w:cs="Arial" w:eastAsia="Times New Roman" w:hAnsi="Arial"/>
      <w:b w:val="1"/>
      <w:w w:val="100"/>
      <w:position w:val="-1"/>
      <w:sz w:val="20"/>
      <w:szCs w:val="24"/>
      <w:effect w:val="none"/>
      <w:shd w:color="auto" w:fill="ffffff" w:val="clear"/>
      <w:vertAlign w:val="baseline"/>
      <w:cs w:val="0"/>
      <w:em w:val="none"/>
      <w:lang w:eastAsia="pt-BR"/>
    </w:rPr>
  </w:style>
  <w:style w:type="character" w:styleId="Título3Char">
    <w:name w:val="Título 3 Char"/>
    <w:next w:val="Título3Char"/>
    <w:autoRedefine w:val="0"/>
    <w:hidden w:val="0"/>
    <w:qFormat w:val="0"/>
    <w:rPr>
      <w:rFonts w:ascii="Arial" w:cs="Times New Roman" w:eastAsia="Times New Roman" w:hAnsi="Arial"/>
      <w:b w:val="1"/>
      <w:w w:val="100"/>
      <w:position w:val="-1"/>
      <w:sz w:val="20"/>
      <w:szCs w:val="24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ti/f6T3O82+ZrRFmCaMZpDxRtQ==">CgMxLjAyCGguZ2pkZ3hzOAByITFLNGlXQld1VkdheTE3MUNCNXc0blViYW9NNzk0bmVuZw==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2019-01-21T11:45:00Z</dcterms:created>
  <dc:creator>Janilson Antonio Da Silva Suzart</dc:creator>
</cp:coreProperties>
</file>